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CF06CFA"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3E6E69">
        <w:rPr>
          <w:rFonts w:ascii="Arial" w:hAnsi="Arial" w:cs="Arial"/>
          <w:b/>
          <w:bCs/>
          <w:sz w:val="22"/>
          <w:szCs w:val="22"/>
        </w:rPr>
        <w:t xml:space="preserve">Administrativo nº </w:t>
      </w:r>
      <w:r w:rsidR="003E6E69" w:rsidRPr="003E6E69">
        <w:rPr>
          <w:rFonts w:ascii="Arial" w:hAnsi="Arial" w:cs="Arial"/>
          <w:b/>
          <w:bCs/>
          <w:sz w:val="22"/>
          <w:szCs w:val="22"/>
        </w:rPr>
        <w:t>5.626/2025</w:t>
      </w:r>
      <w:r w:rsidR="0071720D" w:rsidRPr="003E6E69">
        <w:rPr>
          <w:rFonts w:ascii="Arial" w:hAnsi="Arial" w:cs="Arial"/>
          <w:b/>
          <w:bCs/>
          <w:sz w:val="22"/>
          <w:szCs w:val="22"/>
        </w:rPr>
        <w:t>,</w:t>
      </w:r>
      <w:r w:rsidR="005466C3" w:rsidRPr="003E6E69">
        <w:rPr>
          <w:rFonts w:ascii="Arial" w:hAnsi="Arial" w:cs="Arial"/>
          <w:b/>
          <w:bCs/>
          <w:sz w:val="22"/>
          <w:szCs w:val="22"/>
        </w:rPr>
        <w:t xml:space="preserve"> </w:t>
      </w:r>
      <w:r w:rsidRPr="003E6E69">
        <w:rPr>
          <w:rFonts w:ascii="Arial" w:hAnsi="Arial" w:cs="Arial"/>
          <w:sz w:val="22"/>
          <w:szCs w:val="22"/>
        </w:rPr>
        <w:t xml:space="preserve">e em observância às disposições da Lei nº </w:t>
      </w:r>
      <w:r w:rsidR="00F232EF" w:rsidRPr="003E6E69">
        <w:rPr>
          <w:rFonts w:ascii="Arial" w:hAnsi="Arial" w:cs="Arial"/>
          <w:sz w:val="22"/>
          <w:szCs w:val="22"/>
        </w:rPr>
        <w:t xml:space="preserve">14.133, </w:t>
      </w:r>
      <w:r w:rsidR="009872FB" w:rsidRPr="003E6E69">
        <w:rPr>
          <w:rFonts w:ascii="Arial" w:hAnsi="Arial" w:cs="Arial"/>
          <w:sz w:val="22"/>
          <w:szCs w:val="22"/>
        </w:rPr>
        <w:t xml:space="preserve">de 1º de abril </w:t>
      </w:r>
      <w:r w:rsidR="00F232EF" w:rsidRPr="003E6E69">
        <w:rPr>
          <w:rFonts w:ascii="Arial" w:hAnsi="Arial" w:cs="Arial"/>
          <w:sz w:val="22"/>
          <w:szCs w:val="22"/>
        </w:rPr>
        <w:t>de 2021</w:t>
      </w:r>
      <w:r w:rsidR="0050761F" w:rsidRPr="003E6E69">
        <w:rPr>
          <w:rFonts w:ascii="Arial" w:hAnsi="Arial" w:cs="Arial"/>
          <w:sz w:val="22"/>
          <w:szCs w:val="22"/>
        </w:rPr>
        <w:t xml:space="preserve"> </w:t>
      </w:r>
      <w:r w:rsidR="0050761F" w:rsidRPr="003E6E69">
        <w:rPr>
          <w:rFonts w:ascii="Arial" w:hAnsi="Arial" w:cs="Arial"/>
          <w:sz w:val="22"/>
          <w:szCs w:val="22"/>
          <w:lang w:val="pt-PT"/>
        </w:rPr>
        <w:t xml:space="preserve">e </w:t>
      </w:r>
      <w:r w:rsidR="009872FB" w:rsidRPr="003E6E69">
        <w:rPr>
          <w:rFonts w:ascii="Arial" w:hAnsi="Arial" w:cs="Arial"/>
          <w:sz w:val="22"/>
          <w:szCs w:val="22"/>
          <w:lang w:val="pt-PT"/>
        </w:rPr>
        <w:t>demais legislações aplicáveis</w:t>
      </w:r>
      <w:r w:rsidR="006306EF" w:rsidRPr="003E6E69">
        <w:rPr>
          <w:rFonts w:ascii="Arial" w:hAnsi="Arial" w:cs="Arial"/>
          <w:sz w:val="22"/>
          <w:szCs w:val="22"/>
        </w:rPr>
        <w:t>,</w:t>
      </w:r>
      <w:r w:rsidRPr="003E6E69">
        <w:rPr>
          <w:rFonts w:ascii="Arial" w:hAnsi="Arial" w:cs="Arial"/>
          <w:i/>
          <w:sz w:val="22"/>
          <w:szCs w:val="22"/>
        </w:rPr>
        <w:t xml:space="preserve"> </w:t>
      </w:r>
      <w:r w:rsidRPr="003E6E69">
        <w:rPr>
          <w:rFonts w:ascii="Arial" w:hAnsi="Arial" w:cs="Arial"/>
          <w:sz w:val="22"/>
          <w:szCs w:val="22"/>
        </w:rPr>
        <w:t xml:space="preserve">resolvem celebrar o presente Termo de Contrato, decorrente do </w:t>
      </w:r>
      <w:r w:rsidR="005466C3" w:rsidRPr="003E6E69">
        <w:rPr>
          <w:rFonts w:ascii="Arial" w:hAnsi="Arial" w:cs="Arial"/>
          <w:b/>
          <w:bCs/>
          <w:sz w:val="22"/>
          <w:szCs w:val="22"/>
        </w:rPr>
        <w:t>Pregão Eletrônico</w:t>
      </w:r>
      <w:r w:rsidR="000B23ED" w:rsidRPr="003E6E69">
        <w:rPr>
          <w:rFonts w:ascii="Arial" w:hAnsi="Arial" w:cs="Arial"/>
          <w:b/>
          <w:bCs/>
          <w:sz w:val="22"/>
          <w:szCs w:val="22"/>
        </w:rPr>
        <w:t xml:space="preserve"> </w:t>
      </w:r>
      <w:r w:rsidR="005466C3" w:rsidRPr="003E6E69">
        <w:rPr>
          <w:rFonts w:ascii="Arial" w:hAnsi="Arial" w:cs="Arial"/>
          <w:b/>
          <w:bCs/>
          <w:sz w:val="22"/>
          <w:szCs w:val="22"/>
        </w:rPr>
        <w:t xml:space="preserve">nº </w:t>
      </w:r>
      <w:r w:rsidR="003E6E69" w:rsidRPr="003E6E69">
        <w:rPr>
          <w:rFonts w:ascii="Arial" w:hAnsi="Arial" w:cs="Arial"/>
          <w:b/>
          <w:bCs/>
          <w:sz w:val="22"/>
          <w:szCs w:val="22"/>
        </w:rPr>
        <w:t>90.115/2025</w:t>
      </w:r>
      <w:r w:rsidRPr="003E6E69">
        <w:rPr>
          <w:rFonts w:ascii="Arial" w:hAnsi="Arial" w:cs="Arial"/>
          <w:sz w:val="22"/>
          <w:szCs w:val="22"/>
        </w:rPr>
        <w:t xml:space="preserve">, </w:t>
      </w:r>
      <w:r w:rsidRPr="008C13A3">
        <w:rPr>
          <w:rFonts w:ascii="Arial" w:hAnsi="Arial" w:cs="Arial"/>
          <w:sz w:val="22"/>
          <w:szCs w:val="22"/>
        </w:rPr>
        <w:t>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D998AEB"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3E6E69" w:rsidRPr="003E6E69">
        <w:rPr>
          <w:rFonts w:ascii="Arial" w:eastAsiaTheme="majorEastAsia" w:hAnsi="Arial" w:cs="Arial"/>
          <w:b/>
          <w:bCs/>
          <w:lang w:val="pt-BR" w:eastAsia="pt-BR"/>
        </w:rPr>
        <w:t>AQUISIÇÃO DE EQUIPAMENTOS E MOBILIÁRIOS, para atender as necessidades da Unidade Básica de Saúde Waldir Costa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2AEED456" w:rsidR="007B0D84" w:rsidRPr="0073093C" w:rsidRDefault="004D3AB8" w:rsidP="0073093C">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73093C">
        <w:rPr>
          <w:rFonts w:ascii="Arial" w:hAnsi="Arial" w:cs="Arial"/>
          <w:bCs/>
          <w:iCs/>
          <w:u w:val="single"/>
        </w:rPr>
        <w:t>MODELO DE EXECUÇÃO DO OBJETO:</w:t>
      </w:r>
    </w:p>
    <w:p w14:paraId="6A364AA4" w14:textId="526D427C"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Os itens deverão ser entregues em parcela única, no prazo máximo de 30 (trinta) dias corridos, contados a partir do recebimento da nota de empenho.</w:t>
      </w:r>
    </w:p>
    <w:p w14:paraId="3FDA66CC" w14:textId="48BA6189"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Caso não seja possível a entrega no prazo acima, a empresa deverá comunicar as razões respectivas com pelo menos 05 (cinco) dias de antecedência para que qualquer pleito de prorrogação de prazo seja analisado, ressalvadas situações de caso fortuito e força maior.</w:t>
      </w:r>
    </w:p>
    <w:p w14:paraId="38A66532" w14:textId="0644924B"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Os bens deverão ser entregues no seguinte endereço:</w:t>
      </w:r>
    </w:p>
    <w:p w14:paraId="6284F4C5" w14:textId="74EE49E9" w:rsidR="004D3AB8" w:rsidRPr="0073093C" w:rsidRDefault="004D3AB8" w:rsidP="0073093C">
      <w:pPr>
        <w:pStyle w:val="Nivel2"/>
        <w:spacing w:before="0" w:after="0" w:line="360" w:lineRule="auto"/>
        <w:rPr>
          <w:rFonts w:eastAsia="Verdana"/>
          <w:bCs/>
          <w:iCs/>
          <w:color w:val="auto"/>
          <w:sz w:val="22"/>
          <w:szCs w:val="22"/>
          <w:lang w:val="pt-PT" w:eastAsia="en-US"/>
        </w:rPr>
      </w:pPr>
      <w:r w:rsidRPr="0073093C">
        <w:rPr>
          <w:rFonts w:eastAsia="Verdana"/>
          <w:bCs/>
          <w:iCs/>
          <w:color w:val="auto"/>
          <w:sz w:val="22"/>
          <w:szCs w:val="22"/>
          <w:lang w:val="pt-PT" w:eastAsia="en-US"/>
        </w:rPr>
        <w:t>- Av. Conselheiro Julius ARP, nº 80, Bloco VII, 3º pavimento – Centro – Nova Friburgo</w:t>
      </w:r>
    </w:p>
    <w:p w14:paraId="21AF1FF5" w14:textId="43335E1B"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As entregas deverão ser realizadas de segunda à sexta-feira,  no horário de 09:00h às 16:00h</w:t>
      </w:r>
    </w:p>
    <w:p w14:paraId="5669AD2E" w14:textId="174C90F2"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2F2599E0" w14:textId="32B76448"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508CE9E2" w14:textId="650FDEEF"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Os bens serão recebidos definitivamente no prazo de 02 (dois) dias, contados do recebimento provisório, após a verificação da qualidade e quantidade do material e consequente aceitação mediante termo detalhado.</w:t>
      </w:r>
    </w:p>
    <w:p w14:paraId="48F57631" w14:textId="0203DE25"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lastRenderedPageBreak/>
        <w:t>Na hipótese de a verificação a que se refere o subitem anterior não ser procedida dentro do prazo fixado, reputar-se-á como realizada, consumando-se o recebimento definitivo no dia do esgotamento do prazo.</w:t>
      </w:r>
    </w:p>
    <w:p w14:paraId="0BC40FA5" w14:textId="166838F3" w:rsidR="004D3AB8" w:rsidRPr="0073093C" w:rsidRDefault="004D3AB8" w:rsidP="0073093C">
      <w:pPr>
        <w:pStyle w:val="Nivel2"/>
        <w:numPr>
          <w:ilvl w:val="2"/>
          <w:numId w:val="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7B98D83F" w14:textId="13FB2D85"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A Contratada deverá oferecer garantia contratual dos bens, complementar à garantia legal, de, no mínimo, 36 meses para o item 02 (computador) e de 12 meses para todos os outros itens, ou pelo prazo fornecido pelo fabricante, se superior, contado a partir do primeiro dia útil subsequente à data do recebimento definitivo do objeto. </w:t>
      </w:r>
    </w:p>
    <w:p w14:paraId="31ACE8A4" w14:textId="7CA33D48"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Visando a manutenção da garantia mencionada no item anterior, será de responsabilidade da Contratada a montagem de itens entregues desmontados e a instalação dos equipamentos (no caso de bens que necessitam de conexões com redes hidráulicas e elétricas, ou instalações entre suas partes, etc) a fim de garantir seu pleno funcionamento.</w:t>
      </w:r>
    </w:p>
    <w:p w14:paraId="5165A9E1" w14:textId="2D7E2039"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A garantia será prestada com vistas a manter os itens fornecidos em perfeitas condições de uso, sem qualquer ônus ou custo adicional para o Contratante. </w:t>
      </w:r>
    </w:p>
    <w:p w14:paraId="4432EF76" w14:textId="271A3D29"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A garantia abrange a realização da manutenção corretiva dos bens pelo próprio Contratado, ou, se for o caso, por meio de assistência técnica autorizada, de acordo com as normas técnicas específicas. </w:t>
      </w:r>
    </w:p>
    <w:p w14:paraId="711949B9" w14:textId="595CB1FD"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Entende-se por manutenção corretiva aquela destinada a corrigir os defeitos apresentados pelos bens, compreendendo a substituição de peças, a realização de ajustes, reparos e correções necessárias. </w:t>
      </w:r>
    </w:p>
    <w:p w14:paraId="722E1F76" w14:textId="0857BCF1"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As peças que apresentarem vício ou defeito no período de vigência da garantia deverão ser substituídas por outras novas, de primeiro uso, e originais, que apresentem padrões de qualidade e desempenho iguais ou superiores aos das peças utilizadas na fabricação do bem.</w:t>
      </w:r>
    </w:p>
    <w:p w14:paraId="6E79E960" w14:textId="76B84988"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Durante a vigência do período de garantia, na eventual necessidade de assistência técnica, os custos referentes ao transporte, mão de obra e material utilizado pelos técnicos em função da distância entre a Contratante e o fornecedor ou seu representante técnico serão integralmente pagos pela Contratada.</w:t>
      </w:r>
    </w:p>
    <w:p w14:paraId="55FAFD49" w14:textId="7A668989"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 Uma vez notificado, o Contratado realizará a reparação ou substituição dos bens que </w:t>
      </w:r>
      <w:r w:rsidRPr="0073093C">
        <w:rPr>
          <w:rFonts w:ascii="Arial" w:hAnsi="Arial" w:cs="Arial"/>
          <w:bCs/>
          <w:iCs/>
        </w:rPr>
        <w:lastRenderedPageBreak/>
        <w:t xml:space="preserve">apresentarem vício ou defeito no prazo de até 05 (cinco) dias úteis, contados a partir da data de retirada do equipamento das dependências da Administração pelo Contratado ou pela assistência técnica autorizada. </w:t>
      </w:r>
    </w:p>
    <w:p w14:paraId="18D3CBA3" w14:textId="22D64607"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1037F832" w14:textId="109DB2FC"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4E3950AF" w14:textId="2A79F807"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07D91E19" w14:textId="017B0582" w:rsidR="004D3AB8" w:rsidRPr="0073093C"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 xml:space="preserve">O custo referente ao transporte dos equipamentos cobertos pela garantia será de responsabilidade do Contratado. </w:t>
      </w:r>
    </w:p>
    <w:p w14:paraId="2F64545D" w14:textId="6AB768E4" w:rsidR="004D3AB8" w:rsidRDefault="004D3AB8" w:rsidP="0073093C">
      <w:pPr>
        <w:pStyle w:val="PargrafodaLista"/>
        <w:numPr>
          <w:ilvl w:val="2"/>
          <w:numId w:val="2"/>
        </w:numPr>
        <w:spacing w:line="360" w:lineRule="auto"/>
        <w:ind w:left="0" w:firstLine="0"/>
        <w:jc w:val="both"/>
        <w:rPr>
          <w:rFonts w:ascii="Arial" w:hAnsi="Arial" w:cs="Arial"/>
          <w:bCs/>
          <w:iCs/>
        </w:rPr>
      </w:pPr>
      <w:r w:rsidRPr="0073093C">
        <w:rPr>
          <w:rFonts w:ascii="Arial" w:hAnsi="Arial" w:cs="Arial"/>
          <w:bCs/>
          <w:iCs/>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193FD6DC" w14:textId="1B9C594E" w:rsidR="0073093C" w:rsidRPr="0073093C" w:rsidRDefault="0073093C" w:rsidP="0073093C">
      <w:pPr>
        <w:pStyle w:val="PargrafodaLista"/>
        <w:numPr>
          <w:ilvl w:val="1"/>
          <w:numId w:val="2"/>
        </w:numPr>
        <w:spacing w:line="360" w:lineRule="auto"/>
        <w:jc w:val="both"/>
        <w:rPr>
          <w:rFonts w:ascii="Arial" w:hAnsi="Arial" w:cs="Arial"/>
          <w:bCs/>
          <w:iCs/>
          <w:u w:val="single"/>
        </w:rPr>
      </w:pPr>
      <w:r w:rsidRPr="0073093C">
        <w:rPr>
          <w:rFonts w:ascii="Arial" w:hAnsi="Arial" w:cs="Arial"/>
          <w:bCs/>
          <w:iCs/>
          <w:u w:val="single"/>
        </w:rPr>
        <w:t>MODELO DE GESTÃO DO CONTRATO:</w:t>
      </w:r>
    </w:p>
    <w:p w14:paraId="1CFADDCA" w14:textId="1452F3FF" w:rsidR="0073093C" w:rsidRPr="0073093C" w:rsidRDefault="0073093C" w:rsidP="0073093C">
      <w:pPr>
        <w:pStyle w:val="Nivel2"/>
        <w:numPr>
          <w:ilvl w:val="2"/>
          <w:numId w:val="2"/>
        </w:numPr>
        <w:tabs>
          <w:tab w:val="left" w:pos="450"/>
        </w:tabs>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p>
    <w:p w14:paraId="5F1B4933" w14:textId="4FFEFD3D" w:rsidR="0073093C" w:rsidRPr="0073093C" w:rsidRDefault="0073093C" w:rsidP="0073093C">
      <w:pPr>
        <w:pStyle w:val="Nivel2"/>
        <w:tabs>
          <w:tab w:val="left" w:pos="450"/>
        </w:tabs>
        <w:spacing w:before="0" w:after="0" w:line="360" w:lineRule="auto"/>
        <w:rPr>
          <w:rFonts w:eastAsia="Verdana"/>
          <w:bCs/>
          <w:iCs/>
          <w:color w:val="auto"/>
          <w:sz w:val="22"/>
          <w:szCs w:val="22"/>
          <w:lang w:val="pt-PT" w:eastAsia="en-US"/>
        </w:rPr>
      </w:pPr>
      <w:r w:rsidRPr="0073093C">
        <w:rPr>
          <w:rFonts w:eastAsia="Verdana"/>
          <w:bCs/>
          <w:iCs/>
          <w:color w:val="auto"/>
          <w:sz w:val="22"/>
          <w:szCs w:val="22"/>
          <w:lang w:val="pt-PT" w:eastAsia="en-US"/>
        </w:rPr>
        <w:t>3.2.2 A execução do contrato deverá ser acompanhada e fiscalizada pelo(s) fiscal(is) do contrato, ou pelos respectivos substitutos.</w:t>
      </w:r>
    </w:p>
    <w:p w14:paraId="34D419EC" w14:textId="14369AD1" w:rsidR="0073093C" w:rsidRPr="0073093C" w:rsidRDefault="0073093C" w:rsidP="0073093C">
      <w:pPr>
        <w:pStyle w:val="Nivel2"/>
        <w:numPr>
          <w:ilvl w:val="2"/>
          <w:numId w:val="12"/>
        </w:numPr>
        <w:tabs>
          <w:tab w:val="left" w:pos="450"/>
        </w:tabs>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w:t>
      </w:r>
    </w:p>
    <w:p w14:paraId="47F337E5" w14:textId="7EBFDA2A" w:rsidR="0073093C" w:rsidRPr="0073093C" w:rsidRDefault="0073093C" w:rsidP="0073093C">
      <w:pPr>
        <w:pStyle w:val="Nivel2"/>
        <w:numPr>
          <w:ilvl w:val="2"/>
          <w:numId w:val="12"/>
        </w:numPr>
        <w:tabs>
          <w:tab w:val="left" w:pos="450"/>
        </w:tabs>
        <w:spacing w:before="0" w:after="0" w:line="360" w:lineRule="auto"/>
        <w:ind w:left="0" w:firstLine="0"/>
        <w:rPr>
          <w:rFonts w:eastAsia="Verdana"/>
          <w:bCs/>
          <w:iCs/>
          <w:color w:val="auto"/>
          <w:sz w:val="22"/>
          <w:szCs w:val="22"/>
          <w:lang w:val="pt-PT" w:eastAsia="en-US"/>
        </w:rPr>
      </w:pPr>
      <w:bookmarkStart w:id="3" w:name="art117%252525252525252525252525252525252"/>
      <w:bookmarkEnd w:id="3"/>
      <w:r w:rsidRPr="0073093C">
        <w:rPr>
          <w:rFonts w:eastAsia="Verdana"/>
          <w:bCs/>
          <w:iCs/>
          <w:color w:val="auto"/>
          <w:sz w:val="22"/>
          <w:szCs w:val="22"/>
          <w:lang w:val="pt-PT" w:eastAsia="en-US"/>
        </w:rPr>
        <w:lastRenderedPageBreak/>
        <w:t>O fiscal do contrato informará a seus superiores, em tempo hábil para a adoção das medidas convenientes, a situação que demandar decisão ou providência que ultrapasse sua competência.</w:t>
      </w:r>
    </w:p>
    <w:p w14:paraId="58B418C4" w14:textId="4FEC37E1"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10270979" w14:textId="235765DC"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bookmarkStart w:id="4" w:name="art120"/>
      <w:bookmarkEnd w:id="4"/>
      <w:r w:rsidRPr="0073093C">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w:t>
      </w:r>
    </w:p>
    <w:p w14:paraId="44A31A82" w14:textId="606FCC66"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Somente o contratado será responsável pelos encargos trabalhistas, previdenciários, fiscais e comerciais resultantes da execução do contrato.</w:t>
      </w:r>
    </w:p>
    <w:p w14:paraId="403CC5DE" w14:textId="57233C86" w:rsidR="0073093C" w:rsidRPr="0073093C" w:rsidRDefault="0073093C" w:rsidP="0073093C">
      <w:pPr>
        <w:pStyle w:val="Nivel3"/>
        <w:numPr>
          <w:ilvl w:val="2"/>
          <w:numId w:val="12"/>
        </w:numPr>
        <w:tabs>
          <w:tab w:val="left" w:pos="450"/>
        </w:tabs>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 xml:space="preserve"> A inadimplência do contratado em relação aos encargos trabalhistas, fiscais e comerciais não transferirá à Administração a responsabilidade pelo seu pagamento e não poderá onerar o objeto do contrato.</w:t>
      </w:r>
    </w:p>
    <w:p w14:paraId="767FAAEA" w14:textId="67B9E3F1"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1ACCC7F9" w14:textId="7797E49A"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órgão ou entidade poderá convocar representante da empresa para adoção de providências que devam ser cumpridas de imediato.</w:t>
      </w:r>
    </w:p>
    <w:p w14:paraId="3D2063C3" w14:textId="53F4C097"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EA0148C" w14:textId="1BA83D98"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1D31EB7" w14:textId="77777777"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3866EF88" w14:textId="77777777"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2DE6FA43" w14:textId="77777777"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lastRenderedPageBreak/>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2C0F400" w14:textId="69C461C0" w:rsidR="0073093C" w:rsidRPr="0073093C" w:rsidRDefault="0073093C" w:rsidP="0073093C">
      <w:pPr>
        <w:pStyle w:val="Nivel2"/>
        <w:numPr>
          <w:ilvl w:val="2"/>
          <w:numId w:val="12"/>
        </w:numPr>
        <w:spacing w:before="0" w:after="0" w:line="360" w:lineRule="auto"/>
        <w:ind w:left="0" w:firstLine="0"/>
        <w:rPr>
          <w:rFonts w:eastAsia="Verdana"/>
          <w:bCs/>
          <w:iCs/>
          <w:color w:val="auto"/>
          <w:sz w:val="22"/>
          <w:szCs w:val="22"/>
          <w:lang w:val="pt-PT" w:eastAsia="en-US"/>
        </w:rPr>
      </w:pPr>
      <w:r w:rsidRPr="0073093C">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49C4F56" w14:textId="77777777" w:rsidR="0073093C" w:rsidRPr="0073093C" w:rsidRDefault="0073093C" w:rsidP="0073093C">
      <w:pPr>
        <w:spacing w:line="360" w:lineRule="auto"/>
        <w:jc w:val="both"/>
        <w:rPr>
          <w:rFonts w:ascii="Arial" w:hAnsi="Arial" w:cs="Arial"/>
          <w:bCs/>
          <w:iCs/>
        </w:rPr>
      </w:pPr>
    </w:p>
    <w:p w14:paraId="22193CCF" w14:textId="061360DF" w:rsidR="00C634F1" w:rsidRPr="008C13A3" w:rsidRDefault="00C634F1" w:rsidP="0073093C">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610A9297" w:rsidR="00C634F1" w:rsidRPr="008C13A3" w:rsidRDefault="00C634F1" w:rsidP="0073093C">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73093C">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EB7ED6" w:rsidRDefault="00147B9F"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EB7ED6">
        <w:rPr>
          <w:rFonts w:ascii="Arial" w:hAnsi="Arial" w:cs="Arial"/>
          <w:bCs/>
          <w:iCs/>
        </w:rPr>
        <w:t>O valor total da contratação é de R$.......... (.....)</w:t>
      </w:r>
    </w:p>
    <w:p w14:paraId="19E0CAC1" w14:textId="3066B963" w:rsidR="001D32DF" w:rsidRPr="00EB7ED6" w:rsidRDefault="001D32DF"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EB7ED6">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EB7ED6" w:rsidRDefault="00147B9F"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EB7ED6">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73093C">
      <w:pPr>
        <w:pStyle w:val="PargrafodaLista"/>
        <w:numPr>
          <w:ilvl w:val="0"/>
          <w:numId w:val="13"/>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635E1D8" w14:textId="23BB6611" w:rsidR="005F443C" w:rsidRPr="005F443C" w:rsidRDefault="005F443C" w:rsidP="005F443C">
      <w:pPr>
        <w:pStyle w:val="PargrafodaLista"/>
        <w:numPr>
          <w:ilvl w:val="1"/>
          <w:numId w:val="13"/>
        </w:numPr>
        <w:spacing w:line="360" w:lineRule="auto"/>
        <w:ind w:left="0" w:firstLine="0"/>
        <w:rPr>
          <w:rFonts w:ascii="Arial" w:hAnsi="Arial" w:cs="Arial"/>
          <w:bCs/>
          <w:iCs/>
        </w:rPr>
      </w:pPr>
      <w:r w:rsidRPr="005F443C">
        <w:rPr>
          <w:rFonts w:ascii="Arial" w:hAnsi="Arial" w:cs="Arial"/>
          <w:bCs/>
          <w:iCs/>
        </w:rPr>
        <w:t xml:space="preserve">As notas fiscais deverão ser emitidas em nome de: </w:t>
      </w:r>
      <w:r w:rsidRPr="005F443C">
        <w:rPr>
          <w:rFonts w:ascii="Arial" w:hAnsi="Arial" w:cs="Arial"/>
          <w:b/>
          <w:iCs/>
        </w:rPr>
        <w:t>FUNDO MUNICIPAL DE SAÚDE, CNPJ: 11.399.442/0001-79, AVENIDA ALBERTO BRAUNE, Nº 224, SALA 221, CENTRO, NOVA FRIBURGO/RJ, CEP 28613-001</w:t>
      </w:r>
      <w:r w:rsidRPr="005F443C">
        <w:rPr>
          <w:rFonts w:ascii="Arial" w:hAnsi="Arial" w:cs="Arial"/>
          <w:bCs/>
          <w:iCs/>
        </w:rPr>
        <w:t>.</w:t>
      </w:r>
    </w:p>
    <w:p w14:paraId="5C25CAD2" w14:textId="4AFE7CDA" w:rsidR="005F443C" w:rsidRPr="005F443C" w:rsidRDefault="005F443C" w:rsidP="005F443C">
      <w:pPr>
        <w:pStyle w:val="PargrafodaLista"/>
        <w:numPr>
          <w:ilvl w:val="1"/>
          <w:numId w:val="13"/>
        </w:numPr>
        <w:shd w:val="clear" w:color="auto" w:fill="FFFFFF" w:themeFill="background1"/>
        <w:spacing w:line="360" w:lineRule="auto"/>
        <w:ind w:left="0" w:firstLine="0"/>
        <w:contextualSpacing/>
        <w:jc w:val="both"/>
        <w:rPr>
          <w:rFonts w:ascii="Arial" w:hAnsi="Arial" w:cs="Arial"/>
          <w:bCs/>
          <w:iCs/>
        </w:rPr>
      </w:pPr>
      <w:r w:rsidRPr="005F443C">
        <w:rPr>
          <w:rFonts w:ascii="Arial" w:hAnsi="Arial" w:cs="Arial"/>
          <w:bCs/>
          <w:iCs/>
        </w:rPr>
        <w:t xml:space="preserve"> Todos os materiais deverão ser entregues no seguinte endereço: Av. Conselheiro Julius ARP, nº 80, Bloco VII, 3º Pavimento - Centro, Nova Friburgo/RJ.</w:t>
      </w:r>
    </w:p>
    <w:p w14:paraId="08B9F2E6" w14:textId="4C8C95C9" w:rsidR="005F443C" w:rsidRPr="005F443C" w:rsidRDefault="005F443C" w:rsidP="005F443C">
      <w:pPr>
        <w:pStyle w:val="PargrafodaLista"/>
        <w:numPr>
          <w:ilvl w:val="1"/>
          <w:numId w:val="13"/>
        </w:numPr>
        <w:spacing w:line="360" w:lineRule="auto"/>
        <w:ind w:left="0" w:firstLine="0"/>
        <w:jc w:val="both"/>
        <w:rPr>
          <w:rFonts w:ascii="Arial" w:hAnsi="Arial" w:cs="Arial"/>
          <w:bCs/>
          <w:iCs/>
          <w:u w:val="single"/>
        </w:rPr>
      </w:pPr>
      <w:r w:rsidRPr="005F443C">
        <w:rPr>
          <w:rFonts w:ascii="Arial" w:hAnsi="Arial" w:cs="Arial"/>
          <w:bCs/>
          <w:iCs/>
          <w:u w:val="single"/>
        </w:rPr>
        <w:t>Da liquidação da despesa:</w:t>
      </w:r>
    </w:p>
    <w:p w14:paraId="412452AC" w14:textId="57C1B78D" w:rsidR="006A70EA" w:rsidRPr="006A70EA" w:rsidRDefault="006A70EA" w:rsidP="006A70EA">
      <w:pPr>
        <w:pStyle w:val="PargrafodaLista"/>
        <w:numPr>
          <w:ilvl w:val="2"/>
          <w:numId w:val="13"/>
        </w:numPr>
        <w:spacing w:line="276" w:lineRule="auto"/>
        <w:ind w:left="0" w:firstLine="0"/>
        <w:jc w:val="both"/>
        <w:rPr>
          <w:rFonts w:ascii="Arial" w:hAnsi="Arial" w:cs="Arial"/>
          <w:bCs/>
          <w:iCs/>
        </w:rPr>
      </w:pPr>
      <w:r w:rsidRPr="006A70EA">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w:t>
      </w:r>
      <w:hyperlink r:id="rId10">
        <w:r w:rsidRPr="006A70EA">
          <w:rPr>
            <w:rFonts w:ascii="Arial" w:hAnsi="Arial" w:cs="Arial"/>
            <w:bCs/>
            <w:iCs/>
          </w:rPr>
          <w:t>https://pmnf.rj.gov.br/paginas-centralizadas/9_64_Legislacoes.html</w:t>
        </w:r>
      </w:hyperlink>
      <w:hyperlink r:id="rId11">
        <w:r w:rsidRPr="006A70EA">
          <w:rPr>
            <w:rFonts w:ascii="Arial" w:hAnsi="Arial" w:cs="Arial"/>
            <w:bCs/>
            <w:iCs/>
          </w:rPr>
          <w:t>.</w:t>
        </w:r>
      </w:hyperlink>
    </w:p>
    <w:p w14:paraId="7CD9E330" w14:textId="398CC0C5" w:rsidR="005F443C" w:rsidRPr="005F443C" w:rsidRDefault="005F443C" w:rsidP="005F443C">
      <w:pPr>
        <w:pStyle w:val="PargrafodaLista"/>
        <w:numPr>
          <w:ilvl w:val="2"/>
          <w:numId w:val="13"/>
        </w:numPr>
        <w:spacing w:line="360" w:lineRule="auto"/>
        <w:ind w:left="0" w:firstLine="0"/>
        <w:jc w:val="both"/>
        <w:rPr>
          <w:rFonts w:ascii="Arial" w:hAnsi="Arial" w:cs="Arial"/>
          <w:bCs/>
          <w:iCs/>
        </w:rPr>
      </w:pPr>
      <w:r w:rsidRPr="005F443C">
        <w:rPr>
          <w:rFonts w:ascii="Arial" w:hAnsi="Arial" w:cs="Arial"/>
          <w:bCs/>
          <w:iCs/>
        </w:rPr>
        <w:t xml:space="preserve">Deverá ser observado no momento da emissão do Documento Fiscal e na liquidação </w:t>
      </w:r>
      <w:r w:rsidRPr="005F443C">
        <w:rPr>
          <w:rFonts w:ascii="Arial" w:hAnsi="Arial" w:cs="Arial"/>
          <w:bCs/>
          <w:iCs/>
        </w:rPr>
        <w:lastRenderedPageBreak/>
        <w:t>da despesa os dispositivos do Decreto Municipal nº 2.480/2023, o qual dispõe sobre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2E88AEA3" w14:textId="3E05D1B8" w:rsidR="005F443C" w:rsidRPr="005F443C" w:rsidRDefault="005F443C" w:rsidP="005F443C">
      <w:pPr>
        <w:pStyle w:val="PargrafodaLista"/>
        <w:numPr>
          <w:ilvl w:val="1"/>
          <w:numId w:val="13"/>
        </w:numPr>
        <w:spacing w:line="360" w:lineRule="auto"/>
        <w:ind w:left="0" w:firstLine="0"/>
        <w:jc w:val="both"/>
        <w:rPr>
          <w:rFonts w:ascii="Arial" w:hAnsi="Arial" w:cs="Arial"/>
          <w:bCs/>
          <w:iCs/>
          <w:u w:val="single"/>
        </w:rPr>
      </w:pPr>
      <w:r w:rsidRPr="005F443C">
        <w:rPr>
          <w:rFonts w:ascii="Arial" w:hAnsi="Arial" w:cs="Arial"/>
          <w:bCs/>
          <w:iCs/>
          <w:u w:val="single"/>
        </w:rPr>
        <w:t>Do pagamento da despesa:</w:t>
      </w:r>
    </w:p>
    <w:p w14:paraId="43ADF679" w14:textId="3A02463A" w:rsidR="005F443C" w:rsidRPr="005F443C" w:rsidRDefault="005F443C" w:rsidP="005F443C">
      <w:pPr>
        <w:pStyle w:val="PargrafodaLista"/>
        <w:numPr>
          <w:ilvl w:val="2"/>
          <w:numId w:val="13"/>
        </w:numPr>
        <w:spacing w:line="360" w:lineRule="auto"/>
        <w:ind w:left="0" w:firstLine="0"/>
        <w:jc w:val="both"/>
        <w:rPr>
          <w:rFonts w:ascii="Arial" w:hAnsi="Arial" w:cs="Arial"/>
          <w:bCs/>
          <w:iCs/>
        </w:rPr>
      </w:pPr>
      <w:r w:rsidRPr="005F443C">
        <w:rPr>
          <w:rFonts w:ascii="Arial" w:hAnsi="Arial" w:cs="Arial"/>
          <w:bCs/>
          <w:iCs/>
        </w:rPr>
        <w:t>O pagamento será efetuado conforme estabelecido no Decreto Municipal nº 2493, de 07 de novembro de 2023, desde que as certidões listadas abaixo estejam dentro da validade:</w:t>
      </w:r>
    </w:p>
    <w:p w14:paraId="53EBEBB7" w14:textId="77777777" w:rsidR="005F443C" w:rsidRPr="005F443C" w:rsidRDefault="005F443C" w:rsidP="005F443C">
      <w:pPr>
        <w:spacing w:line="360" w:lineRule="auto"/>
        <w:jc w:val="both"/>
        <w:rPr>
          <w:rFonts w:ascii="Arial" w:hAnsi="Arial" w:cs="Arial"/>
          <w:bCs/>
          <w:iCs/>
        </w:rPr>
      </w:pPr>
      <w:r w:rsidRPr="005F443C">
        <w:rPr>
          <w:rFonts w:ascii="Arial" w:hAnsi="Arial" w:cs="Arial"/>
          <w:bCs/>
          <w:iCs/>
        </w:rPr>
        <w:t xml:space="preserve">- Negativa de Débitos Trabalhistas; </w:t>
      </w:r>
    </w:p>
    <w:p w14:paraId="5C6EFC81" w14:textId="77777777" w:rsidR="005F443C" w:rsidRPr="005F443C" w:rsidRDefault="005F443C" w:rsidP="005F443C">
      <w:pPr>
        <w:spacing w:line="360" w:lineRule="auto"/>
        <w:jc w:val="both"/>
        <w:rPr>
          <w:rFonts w:ascii="Arial" w:hAnsi="Arial" w:cs="Arial"/>
          <w:bCs/>
          <w:iCs/>
        </w:rPr>
      </w:pPr>
      <w:r w:rsidRPr="005F443C">
        <w:rPr>
          <w:rFonts w:ascii="Arial" w:hAnsi="Arial" w:cs="Arial"/>
          <w:bCs/>
          <w:iCs/>
        </w:rPr>
        <w:t xml:space="preserve">- Fazenda Federal – abrange as contribuições sociais; </w:t>
      </w:r>
    </w:p>
    <w:p w14:paraId="1CECF915" w14:textId="77777777" w:rsidR="005F443C" w:rsidRPr="005F443C" w:rsidRDefault="005F443C" w:rsidP="005F443C">
      <w:pPr>
        <w:spacing w:line="360" w:lineRule="auto"/>
        <w:jc w:val="both"/>
        <w:rPr>
          <w:rFonts w:ascii="Arial" w:hAnsi="Arial" w:cs="Arial"/>
          <w:bCs/>
          <w:iCs/>
        </w:rPr>
      </w:pPr>
      <w:r w:rsidRPr="005F443C">
        <w:rPr>
          <w:rFonts w:ascii="Arial" w:hAnsi="Arial" w:cs="Arial"/>
          <w:bCs/>
          <w:iCs/>
        </w:rPr>
        <w:t xml:space="preserve">- FGTS; </w:t>
      </w:r>
    </w:p>
    <w:p w14:paraId="7F5078F2" w14:textId="77777777" w:rsidR="005F443C" w:rsidRPr="005F443C" w:rsidRDefault="005F443C" w:rsidP="005F443C">
      <w:pPr>
        <w:spacing w:line="360" w:lineRule="auto"/>
        <w:jc w:val="both"/>
        <w:rPr>
          <w:rFonts w:ascii="Arial" w:hAnsi="Arial" w:cs="Arial"/>
          <w:bCs/>
          <w:iCs/>
        </w:rPr>
      </w:pPr>
      <w:r w:rsidRPr="005F443C">
        <w:rPr>
          <w:rFonts w:ascii="Arial" w:hAnsi="Arial" w:cs="Arial"/>
          <w:bCs/>
          <w:iCs/>
        </w:rPr>
        <w:t xml:space="preserve">- PGE – referente à Dívida Ativa Estadual; </w:t>
      </w:r>
    </w:p>
    <w:p w14:paraId="0A7200D4" w14:textId="77777777" w:rsidR="005F443C" w:rsidRPr="005F443C" w:rsidRDefault="005F443C" w:rsidP="005F443C">
      <w:pPr>
        <w:spacing w:line="360" w:lineRule="auto"/>
        <w:jc w:val="both"/>
        <w:rPr>
          <w:rFonts w:ascii="Arial" w:hAnsi="Arial" w:cs="Arial"/>
          <w:bCs/>
          <w:iCs/>
        </w:rPr>
      </w:pPr>
      <w:r w:rsidRPr="005F443C">
        <w:rPr>
          <w:rFonts w:ascii="Arial" w:hAnsi="Arial" w:cs="Arial"/>
          <w:bCs/>
          <w:iCs/>
        </w:rPr>
        <w:t xml:space="preserve">- Municipal – referente ao ISS e Dívida Ativa; </w:t>
      </w:r>
    </w:p>
    <w:p w14:paraId="03D5632B" w14:textId="6FDBBF7D" w:rsidR="005F443C" w:rsidRPr="005F443C" w:rsidRDefault="005F443C" w:rsidP="005F443C">
      <w:pPr>
        <w:spacing w:line="360" w:lineRule="auto"/>
        <w:jc w:val="both"/>
        <w:rPr>
          <w:rFonts w:ascii="Arial" w:hAnsi="Arial" w:cs="Arial"/>
          <w:bCs/>
          <w:iCs/>
        </w:rPr>
      </w:pPr>
      <w:r w:rsidRPr="005F443C">
        <w:rPr>
          <w:rFonts w:ascii="Arial" w:hAnsi="Arial" w:cs="Arial"/>
          <w:bCs/>
          <w:iCs/>
        </w:rPr>
        <w:t>- Estadual CND – referente ao ICMS.</w:t>
      </w:r>
    </w:p>
    <w:p w14:paraId="2C4A089E" w14:textId="0EA8C176" w:rsidR="005F443C" w:rsidRPr="005F443C" w:rsidRDefault="005F443C" w:rsidP="005F443C">
      <w:pPr>
        <w:pStyle w:val="PargrafodaLista"/>
        <w:numPr>
          <w:ilvl w:val="2"/>
          <w:numId w:val="13"/>
        </w:numPr>
        <w:spacing w:line="360" w:lineRule="auto"/>
        <w:ind w:left="0" w:firstLine="0"/>
        <w:jc w:val="both"/>
        <w:rPr>
          <w:rFonts w:ascii="Arial" w:hAnsi="Arial" w:cs="Arial"/>
          <w:bCs/>
          <w:iCs/>
        </w:rPr>
      </w:pPr>
      <w:r w:rsidRPr="005F443C">
        <w:rPr>
          <w:rFonts w:ascii="Arial" w:hAnsi="Arial" w:cs="Arial"/>
          <w:bCs/>
          <w:iCs/>
        </w:rPr>
        <w:t xml:space="preserve">A Nota Fiscal deverá conter a identificação do Banco, número da Agência e da Conta Corrente, para que possibilite o CONTRATANTE efetuar o pagamento do valor devido; </w:t>
      </w:r>
    </w:p>
    <w:p w14:paraId="2F395E61" w14:textId="1A5D0CD7" w:rsidR="005F443C" w:rsidRPr="005F443C" w:rsidRDefault="005F443C" w:rsidP="005F443C">
      <w:pPr>
        <w:pStyle w:val="PargrafodaLista"/>
        <w:numPr>
          <w:ilvl w:val="2"/>
          <w:numId w:val="13"/>
        </w:numPr>
        <w:spacing w:line="360" w:lineRule="auto"/>
        <w:ind w:left="0" w:firstLine="0"/>
        <w:jc w:val="both"/>
        <w:rPr>
          <w:rFonts w:ascii="Arial" w:hAnsi="Arial" w:cs="Arial"/>
          <w:bCs/>
          <w:iCs/>
        </w:rPr>
      </w:pPr>
      <w:r w:rsidRPr="005F443C">
        <w:rPr>
          <w:rFonts w:ascii="Arial" w:hAnsi="Arial" w:cs="Arial"/>
          <w:bCs/>
          <w:iCs/>
        </w:rPr>
        <w:t>Na ocorrência de rejeição da(s) Nota(s) Fiscal (s), motivada por erro ou incorreções, o prazo para pagamento estipulado acima passará a ser contado a partir da data de sua reapresentação.</w:t>
      </w:r>
    </w:p>
    <w:p w14:paraId="46E685EE" w14:textId="508488FD" w:rsidR="005F443C" w:rsidRPr="005F443C" w:rsidRDefault="005F443C" w:rsidP="005F443C">
      <w:pPr>
        <w:pStyle w:val="PargrafodaLista"/>
        <w:numPr>
          <w:ilvl w:val="2"/>
          <w:numId w:val="13"/>
        </w:numPr>
        <w:spacing w:line="360" w:lineRule="auto"/>
        <w:ind w:left="0" w:firstLine="0"/>
        <w:jc w:val="both"/>
        <w:rPr>
          <w:rFonts w:ascii="Arial" w:hAnsi="Arial" w:cs="Arial"/>
          <w:bCs/>
          <w:iCs/>
        </w:rPr>
      </w:pPr>
      <w:r w:rsidRPr="005F443C">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14ACDB5F" w14:textId="6C408D76" w:rsidR="005F443C" w:rsidRPr="005F443C" w:rsidRDefault="005F443C" w:rsidP="005F443C">
      <w:pPr>
        <w:pStyle w:val="PargrafodaLista"/>
        <w:numPr>
          <w:ilvl w:val="2"/>
          <w:numId w:val="13"/>
        </w:numPr>
        <w:spacing w:line="360" w:lineRule="auto"/>
        <w:ind w:left="0" w:firstLine="0"/>
        <w:jc w:val="both"/>
        <w:rPr>
          <w:rFonts w:ascii="Arial" w:hAnsi="Arial" w:cs="Arial"/>
          <w:bCs/>
          <w:iCs/>
        </w:rPr>
      </w:pPr>
      <w:r w:rsidRPr="005F443C">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3CD040A5"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5F443C" w:rsidRDefault="0097688D" w:rsidP="0073093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5F443C">
        <w:rPr>
          <w:rFonts w:ascii="Arial" w:eastAsiaTheme="majorEastAsia" w:hAnsi="Arial" w:cs="Arial"/>
          <w:b/>
          <w:bCs/>
          <w:lang w:val="pt-BR" w:eastAsia="pt-BR"/>
        </w:rPr>
        <w:t>CLÁUSULA SÉTIMA - REAJUSTE (art. 92, V)</w:t>
      </w:r>
    </w:p>
    <w:p w14:paraId="6348F2F6" w14:textId="77777777" w:rsidR="0097688D" w:rsidRPr="005F443C"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5F443C">
        <w:rPr>
          <w:rFonts w:ascii="Arial" w:hAnsi="Arial" w:cs="Arial"/>
          <w:bCs/>
          <w:iCs/>
        </w:rPr>
        <w:lastRenderedPageBreak/>
        <w:t>Os preços inicialmente contratados são fixos e irreajustáveis no prazo de um ano contado da data do orçamento estimado, em __/__/__ (DD/MM/AAAA).</w:t>
      </w:r>
    </w:p>
    <w:p w14:paraId="70569D4F" w14:textId="46033915"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5F443C">
        <w:rPr>
          <w:rFonts w:ascii="Arial" w:hAnsi="Arial" w:cs="Arial"/>
          <w:bCs/>
          <w:iCs/>
        </w:rPr>
        <w:t xml:space="preserve">Após o interregno de um ano, e independentemente de pedido do contratado, os preços iniciais serão reajustados, mediante a aplicação, pelo contratante, </w:t>
      </w:r>
      <w:r w:rsidRPr="005F443C">
        <w:rPr>
          <w:rFonts w:ascii="Arial" w:hAnsi="Arial" w:cs="Arial"/>
          <w:bCs/>
          <w:iCs/>
          <w:lang w:val="pt-BR"/>
        </w:rPr>
        <w:t>do Índice Nacional de Preços ao Consumidor Amplo (IPCA), instituído pelo Instituto Brasileiro de Geografia e Estatística (IBGE)</w:t>
      </w:r>
      <w:r w:rsidRPr="005F443C">
        <w:rPr>
          <w:rFonts w:ascii="Arial" w:hAnsi="Arial" w:cs="Arial"/>
          <w:bCs/>
          <w:iCs/>
        </w:rPr>
        <w:t xml:space="preserve">, exclusivamente para as obrigações iniciadas e </w:t>
      </w:r>
      <w:r w:rsidRPr="008C13A3">
        <w:rPr>
          <w:rFonts w:ascii="Arial" w:hAnsi="Arial" w:cs="Arial"/>
          <w:bCs/>
          <w:iCs/>
        </w:rPr>
        <w:t>concluídas após a ocorrência da anualidade.</w:t>
      </w:r>
    </w:p>
    <w:p w14:paraId="2DDE6E5E" w14:textId="77777777"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73093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2"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5F443C"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5F443C"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5F443C">
        <w:rPr>
          <w:rFonts w:ascii="Arial" w:hAnsi="Arial" w:cs="Arial"/>
          <w:bCs/>
          <w:iCs/>
          <w:lang w:val="pt-BR"/>
        </w:rPr>
        <w:t xml:space="preserve"> A Administração terá o prazo de </w:t>
      </w:r>
      <w:r w:rsidRPr="005F443C">
        <w:rPr>
          <w:rFonts w:ascii="Arial" w:hAnsi="Arial" w:cs="Arial"/>
          <w:bCs/>
          <w:iCs/>
        </w:rPr>
        <w:t>1 (um) mês</w:t>
      </w:r>
      <w:r w:rsidRPr="005F443C">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5F443C"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5F443C">
        <w:rPr>
          <w:rFonts w:ascii="Arial" w:hAnsi="Arial" w:cs="Arial"/>
          <w:bCs/>
          <w:iCs/>
          <w:lang w:val="pt-BR"/>
        </w:rPr>
        <w:t xml:space="preserve">Responder eventuais pedidos de reestabelecimento do equilíbrio econômico-financeiro feitos pelo contratado no prazo máximo de </w:t>
      </w:r>
      <w:r w:rsidRPr="005F443C">
        <w:rPr>
          <w:rFonts w:ascii="Arial" w:hAnsi="Arial" w:cs="Arial"/>
          <w:bCs/>
          <w:iCs/>
        </w:rPr>
        <w:t>1 (um) mês</w:t>
      </w:r>
      <w:r w:rsidRPr="005F443C">
        <w:rPr>
          <w:rFonts w:ascii="Arial" w:hAnsi="Arial" w:cs="Arial"/>
          <w:bCs/>
          <w:iCs/>
          <w:lang w:val="pt-BR"/>
        </w:rPr>
        <w:t>.</w:t>
      </w:r>
    </w:p>
    <w:p w14:paraId="5080FE7D" w14:textId="1422E991" w:rsidR="00A27B94" w:rsidRDefault="00A27B94"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5F443C">
        <w:rPr>
          <w:rFonts w:ascii="Arial" w:hAnsi="Arial" w:cs="Arial"/>
          <w:bCs/>
          <w:iCs/>
          <w:lang w:val="pt-BR"/>
        </w:rPr>
        <w:t xml:space="preserve">A Administração não responderá por quaisquer compromissos assumidos pelo Contratado com terceiros, ainda que vinculados à execução do </w:t>
      </w:r>
      <w:r w:rsidRPr="008C13A3">
        <w:rPr>
          <w:rFonts w:ascii="Arial" w:hAnsi="Arial" w:cs="Arial"/>
          <w:bCs/>
          <w:iCs/>
          <w:lang w:val="pt-BR"/>
        </w:rPr>
        <w:t>contrato, bem como por qualquer dano causado a terceiros em decorrência de ato do Contratado, de seus empregados, prepostos ou subordinados.</w:t>
      </w:r>
    </w:p>
    <w:p w14:paraId="1A6721FD" w14:textId="77777777" w:rsidR="005F443C" w:rsidRPr="008C13A3" w:rsidRDefault="005F443C" w:rsidP="005F443C">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73093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3"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4"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5"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73093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73093C">
      <w:pPr>
        <w:pStyle w:val="Nivel2"/>
        <w:numPr>
          <w:ilvl w:val="1"/>
          <w:numId w:val="13"/>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73093C">
      <w:pPr>
        <w:pStyle w:val="Nivel2"/>
        <w:numPr>
          <w:ilvl w:val="1"/>
          <w:numId w:val="13"/>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7"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73093C">
      <w:pPr>
        <w:pStyle w:val="Nivel2"/>
        <w:numPr>
          <w:ilvl w:val="1"/>
          <w:numId w:val="13"/>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73093C">
      <w:pPr>
        <w:pStyle w:val="Nivel2"/>
        <w:numPr>
          <w:ilvl w:val="1"/>
          <w:numId w:val="13"/>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8C13A3">
          <w:rPr>
            <w:rStyle w:val="Hyperlink"/>
            <w:sz w:val="22"/>
            <w:szCs w:val="22"/>
          </w:rPr>
          <w:t>art. 124, II, d, da Lei nº 14.133, de 2021.</w:t>
        </w:r>
      </w:hyperlink>
    </w:p>
    <w:p w14:paraId="35B655A2" w14:textId="43EBA5E3" w:rsidR="004A20F0" w:rsidRPr="008C13A3" w:rsidRDefault="004A20F0" w:rsidP="0073093C">
      <w:pPr>
        <w:pStyle w:val="Nivel2"/>
        <w:numPr>
          <w:ilvl w:val="1"/>
          <w:numId w:val="13"/>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73093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73093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9"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20"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1"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2" w:anchor="art156§2" w:history="1">
        <w:r w:rsidRPr="008C13A3">
          <w:rPr>
            <w:rStyle w:val="Hyperlink"/>
            <w:rFonts w:ascii="Arial" w:eastAsia="Arial" w:hAnsi="Arial" w:cs="Arial"/>
          </w:rPr>
          <w:t xml:space="preserve">art. 156, §2º, da </w:t>
        </w:r>
        <w:bookmarkStart w:id="5" w:name="_Hlk114504069"/>
        <w:r w:rsidRPr="008C13A3">
          <w:rPr>
            <w:rStyle w:val="Hyperlink"/>
            <w:rFonts w:ascii="Arial" w:eastAsia="Arial" w:hAnsi="Arial" w:cs="Arial"/>
          </w:rPr>
          <w:t>Lei nº 14.133, de 2021</w:t>
        </w:r>
        <w:bookmarkEnd w:id="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5"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6"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7"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9"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0"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1"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2" w:history="1">
        <w:r w:rsidRPr="008C13A3">
          <w:rPr>
            <w:rStyle w:val="Hyperlink"/>
            <w:rFonts w:ascii="Arial" w:hAnsi="Arial" w:cs="Arial"/>
          </w:rPr>
          <w:t>Lei nº 12.846, de 2013</w:t>
        </w:r>
      </w:hyperlink>
      <w:r w:rsidRPr="008C13A3">
        <w:rPr>
          <w:rFonts w:ascii="Arial" w:hAnsi="Arial" w:cs="Arial"/>
        </w:rPr>
        <w:t xml:space="preserve">, serão apurados e julgados conjuntamente, nos </w:t>
      </w:r>
      <w:r w:rsidRPr="008C13A3">
        <w:rPr>
          <w:rFonts w:ascii="Arial" w:hAnsi="Arial" w:cs="Arial"/>
        </w:rPr>
        <w:lastRenderedPageBreak/>
        <w:t>mesmos autos, observados o rito procedimental e autoridade competente definidos na referida Lei (</w:t>
      </w:r>
      <w:hyperlink r:id="rId33"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73093C">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8"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73093C">
      <w:pPr>
        <w:pStyle w:val="PargrafodaLista"/>
        <w:widowControl/>
        <w:numPr>
          <w:ilvl w:val="1"/>
          <w:numId w:val="1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73093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0"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73093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A alteração social ou a modificação da finalidade ou da estrutura da empresa não ensejará a extinção se não restringir sua capacidade de concluir o contrato.</w:t>
      </w:r>
    </w:p>
    <w:p w14:paraId="62709D8D" w14:textId="77777777" w:rsidR="003444FD" w:rsidRPr="008C13A3" w:rsidRDefault="003444FD" w:rsidP="0073093C">
      <w:pPr>
        <w:pStyle w:val="PargrafodaLista"/>
        <w:widowControl/>
        <w:numPr>
          <w:ilvl w:val="3"/>
          <w:numId w:val="13"/>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73093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73093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73093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15625C7" w:rsidR="002E43FD" w:rsidRDefault="002E43FD" w:rsidP="0073093C">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2"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781C4A9" w14:textId="75378364" w:rsidR="004F3A2E" w:rsidRPr="004F3A2E" w:rsidRDefault="004F3A2E" w:rsidP="004F3A2E">
      <w:pPr>
        <w:pStyle w:val="PargrafodaLista"/>
        <w:spacing w:line="276" w:lineRule="auto"/>
        <w:ind w:left="0"/>
        <w:jc w:val="both"/>
        <w:rPr>
          <w:rFonts w:ascii="Arial" w:hAnsi="Arial" w:cs="Arial"/>
        </w:rPr>
      </w:pPr>
      <w:r w:rsidRPr="004F3A2E">
        <w:rPr>
          <w:rFonts w:ascii="Arial" w:hAnsi="Arial" w:cs="Arial"/>
        </w:rPr>
        <w:t>13.1 As despesas decorrentes da presente contratação correrão à conta de recursos específicos consignados no Orçamento do Município, na forma abaixo:</w:t>
      </w:r>
    </w:p>
    <w:tbl>
      <w:tblPr>
        <w:tblW w:w="9575" w:type="dxa"/>
        <w:tblInd w:w="-238" w:type="dxa"/>
        <w:tblLook w:val="04A0" w:firstRow="1" w:lastRow="0" w:firstColumn="1" w:lastColumn="0" w:noHBand="0" w:noVBand="1"/>
      </w:tblPr>
      <w:tblGrid>
        <w:gridCol w:w="2832"/>
        <w:gridCol w:w="2541"/>
        <w:gridCol w:w="1759"/>
        <w:gridCol w:w="2443"/>
      </w:tblGrid>
      <w:tr w:rsidR="004F3A2E" w:rsidRPr="004F3A2E" w14:paraId="3DC6BCAD" w14:textId="77777777" w:rsidTr="00630325">
        <w:tc>
          <w:tcPr>
            <w:tcW w:w="2937" w:type="dxa"/>
            <w:shd w:val="clear" w:color="auto" w:fill="auto"/>
            <w:vAlign w:val="center"/>
          </w:tcPr>
          <w:p w14:paraId="48627CCF" w14:textId="77777777" w:rsidR="004F3A2E" w:rsidRPr="004F3A2E" w:rsidRDefault="004F3A2E" w:rsidP="00630325">
            <w:pPr>
              <w:pStyle w:val="PargrafodaLista"/>
              <w:spacing w:line="276" w:lineRule="auto"/>
              <w:ind w:left="0"/>
              <w:jc w:val="center"/>
              <w:rPr>
                <w:rFonts w:ascii="Arial" w:hAnsi="Arial" w:cs="Arial"/>
              </w:rPr>
            </w:pPr>
            <w:r w:rsidRPr="004F3A2E">
              <w:rPr>
                <w:rFonts w:ascii="Arial" w:hAnsi="Arial" w:cs="Arial"/>
              </w:rPr>
              <w:t>Órgão/Unidade Orçamentária</w:t>
            </w:r>
          </w:p>
        </w:tc>
        <w:tc>
          <w:tcPr>
            <w:tcW w:w="2275" w:type="dxa"/>
            <w:shd w:val="clear" w:color="auto" w:fill="auto"/>
            <w:vAlign w:val="center"/>
          </w:tcPr>
          <w:p w14:paraId="055ADCF5" w14:textId="77777777" w:rsidR="004F3A2E" w:rsidRPr="004F3A2E" w:rsidRDefault="004F3A2E" w:rsidP="00630325">
            <w:pPr>
              <w:pStyle w:val="PargrafodaLista"/>
              <w:spacing w:line="276" w:lineRule="auto"/>
              <w:ind w:left="0"/>
              <w:jc w:val="center"/>
              <w:rPr>
                <w:rFonts w:ascii="Arial" w:hAnsi="Arial" w:cs="Arial"/>
              </w:rPr>
            </w:pPr>
            <w:r w:rsidRPr="004F3A2E">
              <w:rPr>
                <w:rFonts w:ascii="Arial" w:hAnsi="Arial" w:cs="Arial"/>
              </w:rPr>
              <w:t>Programa de Trabalho</w:t>
            </w:r>
          </w:p>
        </w:tc>
        <w:tc>
          <w:tcPr>
            <w:tcW w:w="1812" w:type="dxa"/>
            <w:shd w:val="clear" w:color="auto" w:fill="auto"/>
            <w:vAlign w:val="center"/>
          </w:tcPr>
          <w:p w14:paraId="09DB489F" w14:textId="77777777" w:rsidR="004F3A2E" w:rsidRPr="004F3A2E" w:rsidRDefault="004F3A2E" w:rsidP="00630325">
            <w:pPr>
              <w:pStyle w:val="PargrafodaLista"/>
              <w:spacing w:line="276" w:lineRule="auto"/>
              <w:ind w:left="57"/>
              <w:jc w:val="center"/>
              <w:rPr>
                <w:rFonts w:ascii="Arial" w:hAnsi="Arial" w:cs="Arial"/>
              </w:rPr>
            </w:pPr>
            <w:r w:rsidRPr="004F3A2E">
              <w:rPr>
                <w:rFonts w:ascii="Arial" w:hAnsi="Arial" w:cs="Arial"/>
              </w:rPr>
              <w:t>Fonte de Recursos</w:t>
            </w:r>
          </w:p>
        </w:tc>
        <w:tc>
          <w:tcPr>
            <w:tcW w:w="2550" w:type="dxa"/>
            <w:shd w:val="clear" w:color="auto" w:fill="auto"/>
            <w:vAlign w:val="center"/>
          </w:tcPr>
          <w:p w14:paraId="3C7DB648" w14:textId="77777777" w:rsidR="004F3A2E" w:rsidRPr="004F3A2E" w:rsidRDefault="004F3A2E" w:rsidP="00630325">
            <w:pPr>
              <w:pStyle w:val="PargrafodaLista"/>
              <w:spacing w:line="276" w:lineRule="auto"/>
              <w:ind w:left="57"/>
              <w:jc w:val="center"/>
              <w:rPr>
                <w:rFonts w:ascii="Arial" w:hAnsi="Arial" w:cs="Arial"/>
              </w:rPr>
            </w:pPr>
            <w:r w:rsidRPr="004F3A2E">
              <w:rPr>
                <w:rFonts w:ascii="Arial" w:hAnsi="Arial" w:cs="Arial"/>
              </w:rPr>
              <w:t>Natureza da Despesa</w:t>
            </w:r>
          </w:p>
        </w:tc>
      </w:tr>
      <w:tr w:rsidR="004F3A2E" w:rsidRPr="004F3A2E" w14:paraId="0ACA43BA" w14:textId="77777777" w:rsidTr="00630325">
        <w:tc>
          <w:tcPr>
            <w:tcW w:w="2937" w:type="dxa"/>
            <w:shd w:val="clear" w:color="auto" w:fill="auto"/>
            <w:vAlign w:val="center"/>
          </w:tcPr>
          <w:p w14:paraId="0C410E7F" w14:textId="77777777" w:rsidR="004F3A2E" w:rsidRPr="004F3A2E" w:rsidRDefault="004F3A2E" w:rsidP="00630325">
            <w:pPr>
              <w:pStyle w:val="PargrafodaLista"/>
              <w:spacing w:line="276" w:lineRule="auto"/>
              <w:ind w:left="0"/>
              <w:jc w:val="center"/>
              <w:rPr>
                <w:rFonts w:ascii="Arial" w:hAnsi="Arial" w:cs="Arial"/>
              </w:rPr>
            </w:pPr>
            <w:r w:rsidRPr="004F3A2E">
              <w:rPr>
                <w:rFonts w:ascii="Arial" w:hAnsi="Arial" w:cs="Arial"/>
              </w:rPr>
              <w:t>Subsecretaria de Atenção Básica</w:t>
            </w:r>
          </w:p>
        </w:tc>
        <w:tc>
          <w:tcPr>
            <w:tcW w:w="2275" w:type="dxa"/>
            <w:shd w:val="clear" w:color="auto" w:fill="auto"/>
            <w:vAlign w:val="center"/>
          </w:tcPr>
          <w:p w14:paraId="36D5C2DA" w14:textId="77777777" w:rsidR="004F3A2E" w:rsidRPr="004F3A2E" w:rsidRDefault="004F3A2E" w:rsidP="00630325">
            <w:pPr>
              <w:pStyle w:val="PargrafodaLista"/>
              <w:spacing w:line="276" w:lineRule="auto"/>
              <w:ind w:left="0"/>
              <w:jc w:val="center"/>
              <w:rPr>
                <w:rFonts w:ascii="Arial" w:hAnsi="Arial" w:cs="Arial"/>
              </w:rPr>
            </w:pPr>
            <w:r w:rsidRPr="004F3A2E">
              <w:rPr>
                <w:rFonts w:ascii="Arial" w:hAnsi="Arial" w:cs="Arial"/>
              </w:rPr>
              <w:t>30001.1030100832.193</w:t>
            </w:r>
          </w:p>
        </w:tc>
        <w:tc>
          <w:tcPr>
            <w:tcW w:w="1812" w:type="dxa"/>
            <w:shd w:val="clear" w:color="auto" w:fill="auto"/>
            <w:vAlign w:val="center"/>
          </w:tcPr>
          <w:p w14:paraId="41A0FF2F" w14:textId="77777777" w:rsidR="004F3A2E" w:rsidRPr="004F3A2E" w:rsidRDefault="004F3A2E" w:rsidP="00630325">
            <w:pPr>
              <w:pStyle w:val="PargrafodaLista"/>
              <w:spacing w:line="276" w:lineRule="auto"/>
              <w:ind w:left="57"/>
              <w:jc w:val="center"/>
              <w:rPr>
                <w:rFonts w:ascii="Arial" w:hAnsi="Arial" w:cs="Arial"/>
              </w:rPr>
            </w:pPr>
            <w:r w:rsidRPr="004F3A2E">
              <w:rPr>
                <w:rFonts w:ascii="Arial" w:hAnsi="Arial" w:cs="Arial"/>
              </w:rPr>
              <w:t>1601311</w:t>
            </w:r>
          </w:p>
        </w:tc>
        <w:tc>
          <w:tcPr>
            <w:tcW w:w="2550" w:type="dxa"/>
            <w:shd w:val="clear" w:color="auto" w:fill="auto"/>
          </w:tcPr>
          <w:p w14:paraId="586A8DAE" w14:textId="77777777" w:rsidR="004F3A2E" w:rsidRPr="004F3A2E" w:rsidRDefault="004F3A2E" w:rsidP="00630325">
            <w:pPr>
              <w:pStyle w:val="PargrafodaLista"/>
              <w:spacing w:line="276" w:lineRule="auto"/>
              <w:ind w:left="57"/>
              <w:jc w:val="center"/>
              <w:rPr>
                <w:rFonts w:ascii="Arial" w:hAnsi="Arial" w:cs="Arial"/>
              </w:rPr>
            </w:pPr>
            <w:r w:rsidRPr="004F3A2E">
              <w:rPr>
                <w:rFonts w:ascii="Arial" w:hAnsi="Arial" w:cs="Arial"/>
              </w:rPr>
              <w:t>449052.01 / 449052.02 / 449052.12 / 449052.13 / 449052.14</w:t>
            </w:r>
          </w:p>
        </w:tc>
      </w:tr>
    </w:tbl>
    <w:p w14:paraId="120C7BB4" w14:textId="2EC7DBEF" w:rsidR="00D90EA5" w:rsidRPr="008C13A3" w:rsidRDefault="00D90EA5" w:rsidP="0073093C">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3"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73093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4"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5"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73093C">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73093C">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6"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73093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w:t>
      </w:r>
      <w:r w:rsidRPr="008C13A3">
        <w:rPr>
          <w:rFonts w:ascii="Arial" w:hAnsi="Arial" w:cs="Arial"/>
        </w:rPr>
        <w:lastRenderedPageBreak/>
        <w:t>ou supressões que se fizerem necessários, até o limite de 25% (vinte e cinco por cento) do valor inicial atualizado do contrato.</w:t>
      </w:r>
    </w:p>
    <w:p w14:paraId="4AC4B385" w14:textId="77777777" w:rsidR="00D90EA5" w:rsidRPr="008C13A3" w:rsidRDefault="00D90EA5" w:rsidP="0073093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3093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7"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73093C">
      <w:pPr>
        <w:pStyle w:val="Nivel010"/>
        <w:numPr>
          <w:ilvl w:val="0"/>
          <w:numId w:val="13"/>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73093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8"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9"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0"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73093C">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51"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73093C">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73093C">
      <w:pPr>
        <w:pStyle w:val="PargrafodaLista"/>
        <w:numPr>
          <w:ilvl w:val="1"/>
          <w:numId w:val="13"/>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32382A8" w14:textId="77C686F6" w:rsidR="0055035E" w:rsidRPr="008C13A3" w:rsidRDefault="0055035E" w:rsidP="001F44F7">
      <w:pPr>
        <w:spacing w:after="120"/>
        <w:jc w:val="both"/>
        <w:rPr>
          <w:rFonts w:ascii="Arial" w:hAnsi="Arial" w:cs="Arial"/>
        </w:rPr>
      </w:pPr>
      <w:r w:rsidRPr="008C13A3">
        <w:rPr>
          <w:rFonts w:ascii="Arial" w:hAnsi="Arial" w:cs="Arial"/>
        </w:rPr>
        <w:t>2-</w:t>
      </w:r>
    </w:p>
    <w:sectPr w:rsidR="0055035E" w:rsidRPr="008C13A3" w:rsidSect="00D80C21">
      <w:headerReference w:type="default" r:id="rId52"/>
      <w:footerReference w:type="default" r:id="rId5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83AD" w14:textId="77777777" w:rsidR="00836A72" w:rsidRDefault="00836A72">
      <w:r>
        <w:separator/>
      </w:r>
    </w:p>
  </w:endnote>
  <w:endnote w:type="continuationSeparator" w:id="0">
    <w:p w14:paraId="7B138146" w14:textId="77777777" w:rsidR="00836A72" w:rsidRDefault="0083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20396" w14:textId="77777777" w:rsidR="00836A72" w:rsidRDefault="00836A72">
      <w:r>
        <w:separator/>
      </w:r>
    </w:p>
  </w:footnote>
  <w:footnote w:type="continuationSeparator" w:id="0">
    <w:p w14:paraId="026C6B99" w14:textId="77777777" w:rsidR="00836A72" w:rsidRDefault="00836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DDD1657"/>
    <w:multiLevelType w:val="multilevel"/>
    <w:tmpl w:val="4474A0D8"/>
    <w:lvl w:ilvl="0">
      <w:start w:val="3"/>
      <w:numFmt w:val="decimal"/>
      <w:lvlText w:val="%1"/>
      <w:lvlJc w:val="left"/>
      <w:pPr>
        <w:ind w:left="435" w:hanging="435"/>
      </w:pPr>
      <w:rPr>
        <w:rFonts w:ascii="Arial" w:hAnsi="Arial" w:cs="Arial" w:hint="default"/>
        <w:b/>
        <w:color w:val="auto"/>
      </w:rPr>
    </w:lvl>
    <w:lvl w:ilvl="1">
      <w:start w:val="2"/>
      <w:numFmt w:val="decimal"/>
      <w:lvlText w:val="%1.%2"/>
      <w:lvlJc w:val="left"/>
      <w:pPr>
        <w:ind w:left="435" w:hanging="435"/>
      </w:pPr>
      <w:rPr>
        <w:rFonts w:ascii="Arial" w:hAnsi="Arial" w:cs="Arial" w:hint="default"/>
        <w:b/>
        <w:color w:val="auto"/>
      </w:rPr>
    </w:lvl>
    <w:lvl w:ilvl="2">
      <w:start w:val="3"/>
      <w:numFmt w:val="decimal"/>
      <w:lvlText w:val="%1.%2.%3"/>
      <w:lvlJc w:val="left"/>
      <w:pPr>
        <w:ind w:left="720" w:hanging="720"/>
      </w:pPr>
      <w:rPr>
        <w:rFonts w:ascii="Arial" w:hAnsi="Arial" w:cs="Arial" w:hint="default"/>
        <w:b w:val="0"/>
        <w:bCs w:val="0"/>
        <w:color w:val="auto"/>
      </w:rPr>
    </w:lvl>
    <w:lvl w:ilvl="3">
      <w:start w:val="1"/>
      <w:numFmt w:val="decimal"/>
      <w:lvlText w:val="%1.%2.%3.%4"/>
      <w:lvlJc w:val="left"/>
      <w:pPr>
        <w:ind w:left="720" w:hanging="720"/>
      </w:pPr>
      <w:rPr>
        <w:rFonts w:ascii="Calibri" w:hAnsi="Calibri" w:cs="Calibri" w:hint="default"/>
        <w:b/>
        <w:color w:val="auto"/>
      </w:rPr>
    </w:lvl>
    <w:lvl w:ilvl="4">
      <w:start w:val="1"/>
      <w:numFmt w:val="decimal"/>
      <w:lvlText w:val="%1.%2.%3.%4.%5"/>
      <w:lvlJc w:val="left"/>
      <w:pPr>
        <w:ind w:left="1080" w:hanging="1080"/>
      </w:pPr>
      <w:rPr>
        <w:rFonts w:ascii="Calibri" w:hAnsi="Calibri" w:cs="Calibri" w:hint="default"/>
        <w:b/>
        <w:color w:val="auto"/>
      </w:rPr>
    </w:lvl>
    <w:lvl w:ilvl="5">
      <w:start w:val="1"/>
      <w:numFmt w:val="decimal"/>
      <w:lvlText w:val="%1.%2.%3.%4.%5.%6"/>
      <w:lvlJc w:val="left"/>
      <w:pPr>
        <w:ind w:left="1080" w:hanging="1080"/>
      </w:pPr>
      <w:rPr>
        <w:rFonts w:ascii="Calibri" w:hAnsi="Calibri" w:cs="Calibri" w:hint="default"/>
        <w:b/>
        <w:color w:val="auto"/>
      </w:rPr>
    </w:lvl>
    <w:lvl w:ilvl="6">
      <w:start w:val="1"/>
      <w:numFmt w:val="decimal"/>
      <w:lvlText w:val="%1.%2.%3.%4.%5.%6.%7"/>
      <w:lvlJc w:val="left"/>
      <w:pPr>
        <w:ind w:left="1440" w:hanging="1440"/>
      </w:pPr>
      <w:rPr>
        <w:rFonts w:ascii="Calibri" w:hAnsi="Calibri" w:cs="Calibri" w:hint="default"/>
        <w:b/>
        <w:color w:val="auto"/>
      </w:rPr>
    </w:lvl>
    <w:lvl w:ilvl="7">
      <w:start w:val="1"/>
      <w:numFmt w:val="decimal"/>
      <w:lvlText w:val="%1.%2.%3.%4.%5.%6.%7.%8"/>
      <w:lvlJc w:val="left"/>
      <w:pPr>
        <w:ind w:left="1440" w:hanging="1440"/>
      </w:pPr>
      <w:rPr>
        <w:rFonts w:ascii="Calibri" w:hAnsi="Calibri" w:cs="Calibri" w:hint="default"/>
        <w:b/>
        <w:color w:val="auto"/>
      </w:rPr>
    </w:lvl>
    <w:lvl w:ilvl="8">
      <w:start w:val="1"/>
      <w:numFmt w:val="decimal"/>
      <w:lvlText w:val="%1.%2.%3.%4.%5.%6.%7.%8.%9"/>
      <w:lvlJc w:val="left"/>
      <w:pPr>
        <w:ind w:left="1800" w:hanging="1800"/>
      </w:pPr>
      <w:rPr>
        <w:rFonts w:ascii="Calibri" w:hAnsi="Calibri" w:cs="Calibri" w:hint="default"/>
        <w:b/>
        <w:color w:val="auto"/>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27E95636"/>
    <w:multiLevelType w:val="multilevel"/>
    <w:tmpl w:val="45D2171A"/>
    <w:lvl w:ilvl="0">
      <w:start w:val="3"/>
      <w:numFmt w:val="decimal"/>
      <w:lvlText w:val="%1"/>
      <w:lvlJc w:val="left"/>
      <w:pPr>
        <w:ind w:left="405" w:hanging="405"/>
      </w:pPr>
      <w:rPr>
        <w:rFonts w:ascii="Calibri" w:hAnsi="Calibri" w:cs="Calibri" w:hint="default"/>
        <w:color w:val="000000" w:themeColor="text1"/>
      </w:rPr>
    </w:lvl>
    <w:lvl w:ilvl="1">
      <w:start w:val="1"/>
      <w:numFmt w:val="decimal"/>
      <w:lvlText w:val="%1.%2"/>
      <w:lvlJc w:val="left"/>
      <w:pPr>
        <w:ind w:left="720" w:hanging="720"/>
      </w:pPr>
      <w:rPr>
        <w:rFonts w:ascii="Calibri" w:hAnsi="Calibri" w:cs="Calibri" w:hint="default"/>
        <w:color w:val="000000" w:themeColor="text1"/>
      </w:rPr>
    </w:lvl>
    <w:lvl w:ilvl="2">
      <w:start w:val="2"/>
      <w:numFmt w:val="decimal"/>
      <w:lvlText w:val="%1.%2.%3"/>
      <w:lvlJc w:val="left"/>
      <w:pPr>
        <w:ind w:left="720" w:hanging="720"/>
      </w:pPr>
      <w:rPr>
        <w:rFonts w:ascii="Calibri" w:hAnsi="Calibri" w:cs="Calibri" w:hint="default"/>
        <w:color w:val="000000" w:themeColor="text1"/>
      </w:rPr>
    </w:lvl>
    <w:lvl w:ilvl="3">
      <w:start w:val="1"/>
      <w:numFmt w:val="decimal"/>
      <w:lvlText w:val="%1.%2.%3.%4"/>
      <w:lvlJc w:val="left"/>
      <w:pPr>
        <w:ind w:left="1080" w:hanging="1080"/>
      </w:pPr>
      <w:rPr>
        <w:rFonts w:ascii="Calibri" w:hAnsi="Calibri" w:cs="Calibri" w:hint="default"/>
        <w:color w:val="000000" w:themeColor="text1"/>
      </w:rPr>
    </w:lvl>
    <w:lvl w:ilvl="4">
      <w:start w:val="1"/>
      <w:numFmt w:val="decimal"/>
      <w:lvlText w:val="%1.%2.%3.%4.%5"/>
      <w:lvlJc w:val="left"/>
      <w:pPr>
        <w:ind w:left="1440" w:hanging="1440"/>
      </w:pPr>
      <w:rPr>
        <w:rFonts w:ascii="Calibri" w:hAnsi="Calibri" w:cs="Calibri" w:hint="default"/>
        <w:color w:val="000000" w:themeColor="text1"/>
      </w:rPr>
    </w:lvl>
    <w:lvl w:ilvl="5">
      <w:start w:val="1"/>
      <w:numFmt w:val="decimal"/>
      <w:lvlText w:val="%1.%2.%3.%4.%5.%6"/>
      <w:lvlJc w:val="left"/>
      <w:pPr>
        <w:ind w:left="1440" w:hanging="1440"/>
      </w:pPr>
      <w:rPr>
        <w:rFonts w:ascii="Calibri" w:hAnsi="Calibri" w:cs="Calibri" w:hint="default"/>
        <w:color w:val="000000" w:themeColor="text1"/>
      </w:rPr>
    </w:lvl>
    <w:lvl w:ilvl="6">
      <w:start w:val="1"/>
      <w:numFmt w:val="decimal"/>
      <w:lvlText w:val="%1.%2.%3.%4.%5.%6.%7"/>
      <w:lvlJc w:val="left"/>
      <w:pPr>
        <w:ind w:left="1800" w:hanging="1800"/>
      </w:pPr>
      <w:rPr>
        <w:rFonts w:ascii="Calibri" w:hAnsi="Calibri" w:cs="Calibri" w:hint="default"/>
        <w:color w:val="000000" w:themeColor="text1"/>
      </w:rPr>
    </w:lvl>
    <w:lvl w:ilvl="7">
      <w:start w:val="1"/>
      <w:numFmt w:val="decimal"/>
      <w:lvlText w:val="%1.%2.%3.%4.%5.%6.%7.%8"/>
      <w:lvlJc w:val="left"/>
      <w:pPr>
        <w:ind w:left="2160" w:hanging="2160"/>
      </w:pPr>
      <w:rPr>
        <w:rFonts w:ascii="Calibri" w:hAnsi="Calibri" w:cs="Calibri" w:hint="default"/>
        <w:color w:val="000000" w:themeColor="text1"/>
      </w:rPr>
    </w:lvl>
    <w:lvl w:ilvl="8">
      <w:start w:val="1"/>
      <w:numFmt w:val="decimal"/>
      <w:lvlText w:val="%1.%2.%3.%4.%5.%6.%7.%8.%9"/>
      <w:lvlJc w:val="left"/>
      <w:pPr>
        <w:ind w:left="2160" w:hanging="2160"/>
      </w:pPr>
      <w:rPr>
        <w:rFonts w:ascii="Calibri" w:hAnsi="Calibri" w:cs="Calibri" w:hint="default"/>
        <w:color w:val="000000" w:themeColor="text1"/>
      </w:rPr>
    </w:lvl>
  </w:abstractNum>
  <w:abstractNum w:abstractNumId="9" w15:restartNumberingAfterBreak="0">
    <w:nsid w:val="2EF23A4F"/>
    <w:multiLevelType w:val="multilevel"/>
    <w:tmpl w:val="4FC49C74"/>
    <w:lvl w:ilvl="0">
      <w:start w:val="3"/>
      <w:numFmt w:val="decimal"/>
      <w:lvlText w:val="%1"/>
      <w:lvlJc w:val="left"/>
      <w:pPr>
        <w:ind w:left="405" w:hanging="405"/>
      </w:pPr>
      <w:rPr>
        <w:rFonts w:ascii="Calibri" w:hAnsi="Calibri" w:cs="Calibri" w:hint="default"/>
        <w:color w:val="auto"/>
      </w:rPr>
    </w:lvl>
    <w:lvl w:ilvl="1">
      <w:start w:val="2"/>
      <w:numFmt w:val="decimal"/>
      <w:lvlText w:val="%1.%2"/>
      <w:lvlJc w:val="left"/>
      <w:pPr>
        <w:ind w:left="405" w:hanging="405"/>
      </w:pPr>
      <w:rPr>
        <w:rFonts w:ascii="Calibri" w:hAnsi="Calibri" w:cs="Calibri" w:hint="default"/>
        <w:color w:val="auto"/>
      </w:rPr>
    </w:lvl>
    <w:lvl w:ilvl="2">
      <w:start w:val="2"/>
      <w:numFmt w:val="decimal"/>
      <w:lvlText w:val="%1.%2.%3"/>
      <w:lvlJc w:val="left"/>
      <w:pPr>
        <w:ind w:left="720" w:hanging="720"/>
      </w:pPr>
      <w:rPr>
        <w:rFonts w:ascii="Calibri" w:hAnsi="Calibri" w:cs="Calibri" w:hint="default"/>
        <w:color w:val="auto"/>
      </w:rPr>
    </w:lvl>
    <w:lvl w:ilvl="3">
      <w:start w:val="1"/>
      <w:numFmt w:val="decimal"/>
      <w:lvlText w:val="%1.%2.%3.%4"/>
      <w:lvlJc w:val="left"/>
      <w:pPr>
        <w:ind w:left="720" w:hanging="720"/>
      </w:pPr>
      <w:rPr>
        <w:rFonts w:ascii="Calibri" w:hAnsi="Calibri" w:cs="Calibri" w:hint="default"/>
        <w:color w:val="auto"/>
      </w:rPr>
    </w:lvl>
    <w:lvl w:ilvl="4">
      <w:start w:val="1"/>
      <w:numFmt w:val="decimal"/>
      <w:lvlText w:val="%1.%2.%3.%4.%5"/>
      <w:lvlJc w:val="left"/>
      <w:pPr>
        <w:ind w:left="1080" w:hanging="1080"/>
      </w:pPr>
      <w:rPr>
        <w:rFonts w:ascii="Calibri" w:hAnsi="Calibri" w:cs="Calibri" w:hint="default"/>
        <w:color w:val="auto"/>
      </w:rPr>
    </w:lvl>
    <w:lvl w:ilvl="5">
      <w:start w:val="1"/>
      <w:numFmt w:val="decimal"/>
      <w:lvlText w:val="%1.%2.%3.%4.%5.%6"/>
      <w:lvlJc w:val="left"/>
      <w:pPr>
        <w:ind w:left="1080" w:hanging="1080"/>
      </w:pPr>
      <w:rPr>
        <w:rFonts w:ascii="Calibri" w:hAnsi="Calibri" w:cs="Calibri" w:hint="default"/>
        <w:color w:val="auto"/>
      </w:rPr>
    </w:lvl>
    <w:lvl w:ilvl="6">
      <w:start w:val="1"/>
      <w:numFmt w:val="decimal"/>
      <w:lvlText w:val="%1.%2.%3.%4.%5.%6.%7"/>
      <w:lvlJc w:val="left"/>
      <w:pPr>
        <w:ind w:left="1440" w:hanging="1440"/>
      </w:pPr>
      <w:rPr>
        <w:rFonts w:ascii="Calibri" w:hAnsi="Calibri" w:cs="Calibri" w:hint="default"/>
        <w:color w:val="auto"/>
      </w:rPr>
    </w:lvl>
    <w:lvl w:ilvl="7">
      <w:start w:val="1"/>
      <w:numFmt w:val="decimal"/>
      <w:lvlText w:val="%1.%2.%3.%4.%5.%6.%7.%8"/>
      <w:lvlJc w:val="left"/>
      <w:pPr>
        <w:ind w:left="1440" w:hanging="1440"/>
      </w:pPr>
      <w:rPr>
        <w:rFonts w:ascii="Calibri" w:hAnsi="Calibri" w:cs="Calibri" w:hint="default"/>
        <w:color w:val="auto"/>
      </w:rPr>
    </w:lvl>
    <w:lvl w:ilvl="8">
      <w:start w:val="1"/>
      <w:numFmt w:val="decimal"/>
      <w:lvlText w:val="%1.%2.%3.%4.%5.%6.%7.%8.%9"/>
      <w:lvlJc w:val="left"/>
      <w:pPr>
        <w:ind w:left="1800" w:hanging="1800"/>
      </w:pPr>
      <w:rPr>
        <w:rFonts w:ascii="Calibri" w:hAnsi="Calibri" w:cs="Calibri" w:hint="default"/>
        <w:color w:val="auto"/>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6DA529CC"/>
    <w:multiLevelType w:val="multilevel"/>
    <w:tmpl w:val="562EBF18"/>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2"/>
  </w:num>
  <w:num w:numId="7">
    <w:abstractNumId w:val="4"/>
  </w:num>
  <w:num w:numId="8">
    <w:abstractNumId w:val="10"/>
  </w:num>
  <w:num w:numId="9">
    <w:abstractNumId w:val="7"/>
  </w:num>
  <w:num w:numId="10">
    <w:abstractNumId w:val="8"/>
  </w:num>
  <w:num w:numId="11">
    <w:abstractNumId w:val="9"/>
  </w:num>
  <w:num w:numId="12">
    <w:abstractNumId w:val="3"/>
  </w:num>
  <w:num w:numId="1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E6E69"/>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AB8"/>
    <w:rsid w:val="004D3E0A"/>
    <w:rsid w:val="004E079B"/>
    <w:rsid w:val="004E1FFC"/>
    <w:rsid w:val="004E221E"/>
    <w:rsid w:val="004E608B"/>
    <w:rsid w:val="004F3A2E"/>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443C"/>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A70EA"/>
    <w:rsid w:val="006B62AB"/>
    <w:rsid w:val="006C7188"/>
    <w:rsid w:val="006D48A5"/>
    <w:rsid w:val="006D4909"/>
    <w:rsid w:val="006D6562"/>
    <w:rsid w:val="006E5958"/>
    <w:rsid w:val="006E635F"/>
    <w:rsid w:val="006F0ECE"/>
    <w:rsid w:val="00702E9E"/>
    <w:rsid w:val="007168B3"/>
    <w:rsid w:val="0071720D"/>
    <w:rsid w:val="00722F56"/>
    <w:rsid w:val="007270C7"/>
    <w:rsid w:val="0073093C"/>
    <w:rsid w:val="00735ADD"/>
    <w:rsid w:val="007412F5"/>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6A72"/>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67826"/>
    <w:rsid w:val="00B721DC"/>
    <w:rsid w:val="00B92016"/>
    <w:rsid w:val="00B923BE"/>
    <w:rsid w:val="00BA1327"/>
    <w:rsid w:val="00BA2AC6"/>
    <w:rsid w:val="00BA68EF"/>
    <w:rsid w:val="00BB0633"/>
    <w:rsid w:val="00BB36D3"/>
    <w:rsid w:val="00BB3B8F"/>
    <w:rsid w:val="00BB408F"/>
    <w:rsid w:val="00BB527C"/>
    <w:rsid w:val="00BB61D2"/>
    <w:rsid w:val="00BD7C18"/>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27FC"/>
    <w:rsid w:val="00EA45FB"/>
    <w:rsid w:val="00EA6E3C"/>
    <w:rsid w:val="00EB35BD"/>
    <w:rsid w:val="00EB7ED6"/>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qFormat/>
    <w:rsid w:val="005F443C"/>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2/decreto/d7724.htm"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mnf.rj.gov.br/paginas-centralizadas/9_64_Legislacoes.html."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8078compilado.htm"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1/lei/l12527.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6014</Words>
  <Characters>32476</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48</cp:revision>
  <cp:lastPrinted>2025-09-04T14:18:00Z</cp:lastPrinted>
  <dcterms:created xsi:type="dcterms:W3CDTF">2023-08-18T18:10:00Z</dcterms:created>
  <dcterms:modified xsi:type="dcterms:W3CDTF">2025-09-04T14:18:00Z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